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3C4AC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00"/>
        <w:gridCol w:w="134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CA86B21" w:rsidR="004B553E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B6CE156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79F61A8" w:rsidR="004B553E" w:rsidRPr="0017531F" w:rsidRDefault="00334C5A" w:rsidP="009A1942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Teorija i praksa </w:t>
            </w:r>
            <w:proofErr w:type="spellStart"/>
            <w:r>
              <w:rPr>
                <w:rFonts w:ascii="Merriweather" w:hAnsi="Merriweather" w:cs="Times New Roman"/>
                <w:b/>
                <w:sz w:val="18"/>
                <w:szCs w:val="18"/>
              </w:rPr>
              <w:t>muzeologije</w:t>
            </w:r>
            <w:proofErr w:type="spellEnd"/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C68AC34" w:rsidR="004B553E" w:rsidRPr="0017531F" w:rsidRDefault="009A1942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B24A137" w:rsidR="004B553E" w:rsidRPr="0017531F" w:rsidRDefault="00EC2BF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D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vopredmetni 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diplomski 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>studij povijesti umjetnosti(smjer</w:t>
            </w:r>
            <w:r w:rsidR="00517EA9">
              <w:rPr>
                <w:rFonts w:ascii="Merriweather" w:hAnsi="Merriweather" w:cs="Times New Roman"/>
                <w:b/>
                <w:sz w:val="18"/>
                <w:szCs w:val="18"/>
              </w:rPr>
              <w:t>: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  <w:r w:rsidR="009A1942">
              <w:rPr>
                <w:rFonts w:ascii="Merriweather" w:hAnsi="Merriweather" w:cs="Times New Roman"/>
                <w:b/>
                <w:sz w:val="18"/>
                <w:szCs w:val="18"/>
              </w:rPr>
              <w:t>opći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>)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1A725679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13DCAE3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C7E4DB3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4DC8113B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EFAFF73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081E9AA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01D0C1A9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20EB7BF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52056F36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64C1528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574D1E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E65A0DC" w:rsidR="00453362" w:rsidRPr="0017531F" w:rsidRDefault="009A194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BABA3EE" w:rsidR="00453362" w:rsidRPr="0017531F" w:rsidRDefault="009A194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350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85" w:type="dxa"/>
            <w:gridSpan w:val="2"/>
          </w:tcPr>
          <w:p w14:paraId="3163F2F8" w14:textId="35885C5C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96538F1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84B8F73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E84F282" w:rsidR="00453362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27D659F" w:rsidR="00453362" w:rsidRPr="003B254F" w:rsidRDefault="00BE4A21" w:rsidP="003B25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E92661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3B254F" w:rsidRPr="003B254F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3B25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92661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B254F">
              <w:rPr>
                <w:rFonts w:ascii="Merriweather" w:hAnsi="Merriweather" w:cs="Times New Roman"/>
                <w:sz w:val="16"/>
                <w:szCs w:val="16"/>
              </w:rPr>
              <w:t>. 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FB92260" w:rsidR="00453362" w:rsidRPr="00BE4A21" w:rsidRDefault="00E92661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5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 xml:space="preserve">. 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>. 202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B466079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4052ADA" w:rsidR="00453362" w:rsidRPr="0017531F" w:rsidRDefault="00DF39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dr. sc. </w:t>
            </w:r>
            <w:r w:rsidR="009A1942">
              <w:rPr>
                <w:rFonts w:ascii="Merriweather" w:hAnsi="Merriweather" w:cs="Times New Roman"/>
                <w:sz w:val="16"/>
                <w:szCs w:val="16"/>
              </w:rPr>
              <w:t>Ivan Josipović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FD02102" w:rsidR="00453362" w:rsidRPr="0017531F" w:rsidRDefault="009A194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ijosipov@unizd.hr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D1D5288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45FC485D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Lidija Butković Mićin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DFC7A1A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lbutkovi1</w:t>
            </w:r>
            <w:r w:rsidR="00DF39D0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3585D98B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9284BBC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F50C003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5973EC9F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73E7C4A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2D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0D97EC80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3E3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0D7C4C3D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A1942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049AE3C" w14:textId="7BBF12CD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poznati složenost fenomena sabiranja i stvaranja zbirki kako izvan baštinskih ustanova tako i u njima, usvajanje ključnih dokumentacijskih principa, razumijevanje informacijske strukture muzejske dokumentacije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45ADF2E3" w14:textId="70AE0561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repoznati suvremena kretanja u razvoju </w:t>
            </w:r>
            <w:proofErr w:type="spellStart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muzeološke</w:t>
            </w:r>
            <w:proofErr w:type="spellEnd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struke; ilustrirati društveni okoliš u kojem djeluju muzeji u Hrvatskoj danas, odrediti osnovne aktivnosti kao i izvore upravljanja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3D4BC60E" w14:textId="48C1314A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azumjeti proces komunikacije u muzejima; usvojiti dosege znanja u okviru </w:t>
            </w:r>
            <w:proofErr w:type="spellStart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muzeološke</w:t>
            </w:r>
            <w:proofErr w:type="spellEnd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funkcije komunikacije, osobito sve oblike komuniciranja u muzejima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1EF9EDE4" w14:textId="11E6ABFF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U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svojiti teorijske diskurse o muzejskim izložbama, 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kao i online proizvodima baštinskih ustanova te virtualnim muzejima.</w:t>
            </w:r>
          </w:p>
          <w:p w14:paraId="1A7DAF0B" w14:textId="615932C5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K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oristiti raznovrsne pristupe u osmišljavanju i planiranju aktivnosti u muzejskom okruženju koji će potaknuti na razumijevanje, razmišljanje i daljnje samostalno istraživanje izloženih tema i problema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62B0FB75" w14:textId="39B79A9C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oznavanje koncepta muzejske pedagogije i andragogije; razumijevanje višestrukih teorijskih okvira muzejske edukacije; primjenjivanje teorijskog znanja o muzejskoj edukaciji u praksi kroz opise, analizu i diskusiju o primjerima iz muzeja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3AAB95C4" w14:textId="2BF3A13D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oznavanje aktivnosti muzejskih pedagoga u Hrvatskoj i primjenjivanje niz metoda u poučavanju i poticanju samostalnog razmišljanja o pojedinim temama u muzejskom okruženju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13E2A08B" w14:textId="06E3D0E5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repoznati svrhu i sadržaje baštinskih ustanova radi njihova korištenja kao dodatnih nastavnih sadržaja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9A1942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9A1942" w:rsidRPr="00CC7BC4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C7BC4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4784998" w14:textId="25EAB947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R</w:t>
            </w:r>
            <w:r w:rsidRPr="00FC7570">
              <w:rPr>
                <w:rFonts w:ascii="Merriweather" w:hAnsi="Merriweather"/>
                <w:sz w:val="16"/>
                <w:szCs w:val="16"/>
              </w:rPr>
              <w:t xml:space="preserve">azlikovati, objasniti i primijeniti specifičnu terminologiju iz područja </w:t>
            </w:r>
            <w:proofErr w:type="spellStart"/>
            <w:r w:rsidRPr="00FC7570">
              <w:rPr>
                <w:rFonts w:ascii="Merriweather" w:hAnsi="Merriweather"/>
                <w:sz w:val="16"/>
                <w:szCs w:val="16"/>
              </w:rPr>
              <w:t>muzeologije</w:t>
            </w:r>
            <w:proofErr w:type="spellEnd"/>
            <w:r w:rsidRPr="00FC7570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FC7570">
              <w:rPr>
                <w:rFonts w:ascii="Merriweather" w:hAnsi="Merriweather"/>
                <w:sz w:val="16"/>
                <w:szCs w:val="16"/>
              </w:rPr>
              <w:t>konzervatorstva</w:t>
            </w:r>
            <w:proofErr w:type="spellEnd"/>
            <w:r w:rsidRPr="00FC7570">
              <w:rPr>
                <w:rFonts w:ascii="Merriweather" w:hAnsi="Merriweather"/>
                <w:sz w:val="16"/>
                <w:szCs w:val="16"/>
              </w:rPr>
              <w:t xml:space="preserve"> i osnovnih teorijskih apstrakcija (uopćenja)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6552E11C" w14:textId="27B762EA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U</w:t>
            </w:r>
            <w:r w:rsidRPr="00FC7570">
              <w:rPr>
                <w:rFonts w:ascii="Merriweather" w:hAnsi="Merriweather"/>
                <w:sz w:val="16"/>
                <w:szCs w:val="16"/>
              </w:rPr>
              <w:t>poznati se sa karakterom i rasponom poslova u zvanju muzejskog kustosa, muzejskog pedagoga i stručnjaka za marketing u muzejsko-galerijskim ustanovama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3792EDCD" w14:textId="1A4509A7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U</w:t>
            </w:r>
            <w:r w:rsidRPr="00FC7570">
              <w:rPr>
                <w:rFonts w:ascii="Merriweather" w:hAnsi="Merriweather"/>
                <w:sz w:val="16"/>
                <w:szCs w:val="16"/>
              </w:rPr>
              <w:t>svojiti načela profesionalne etike u muzejsko-galerijskom i konzervatorskom radu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1AB9AA44" w14:textId="2BF3E899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P</w:t>
            </w:r>
            <w:r w:rsidRPr="00FC7570">
              <w:rPr>
                <w:rFonts w:ascii="Merriweather" w:hAnsi="Merriweather"/>
                <w:sz w:val="16"/>
                <w:szCs w:val="16"/>
              </w:rPr>
              <w:t>rimijeniti napredna znanja i vještine iz područja povijesti i teorije umjetnosti te užih područja struke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2E67B153" w14:textId="0EE41D0A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P</w:t>
            </w:r>
            <w:r w:rsidRPr="00FC7570">
              <w:rPr>
                <w:rFonts w:ascii="Merriweather" w:hAnsi="Merriweather"/>
                <w:sz w:val="16"/>
                <w:szCs w:val="16"/>
              </w:rPr>
              <w:t xml:space="preserve">repoznati, imenovati, objasniti i primijeniti složeniju i uže stručnu </w:t>
            </w:r>
            <w:proofErr w:type="spellStart"/>
            <w:r w:rsidRPr="00FC7570">
              <w:rPr>
                <w:rFonts w:ascii="Merriweather" w:hAnsi="Merriweather"/>
                <w:sz w:val="16"/>
                <w:szCs w:val="16"/>
              </w:rPr>
              <w:t>povijesnoumjetničku</w:t>
            </w:r>
            <w:proofErr w:type="spellEnd"/>
            <w:r w:rsidRPr="00FC7570">
              <w:rPr>
                <w:rFonts w:ascii="Merriweather" w:hAnsi="Merriweather"/>
                <w:sz w:val="16"/>
                <w:szCs w:val="16"/>
              </w:rPr>
              <w:t xml:space="preserve"> terminologiju u usmenom i pismenom obliku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5B0A93D8" w14:textId="40711A29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Z</w:t>
            </w:r>
            <w:r w:rsidRPr="00FC7570">
              <w:rPr>
                <w:rFonts w:ascii="Merriweather" w:hAnsi="Merriweather"/>
                <w:sz w:val="16"/>
                <w:szCs w:val="16"/>
              </w:rPr>
              <w:t>astupati i argumentirati adekvatne konceptualizacije o različitim temama, medijima i područjima povijesti i teorije umjetnosti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3FD6A561" w14:textId="5B363C41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I</w:t>
            </w:r>
            <w:r w:rsidRPr="00FC7570">
              <w:rPr>
                <w:rFonts w:ascii="Merriweather" w:hAnsi="Merriweather"/>
                <w:sz w:val="16"/>
                <w:szCs w:val="16"/>
              </w:rPr>
              <w:t>zabrati i integrirati sadržaje, metode i terminologiju srodnih disciplina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12CA2F78" w14:textId="25D58C4F" w:rsidR="009A1942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In</w:t>
            </w:r>
            <w:r w:rsidRPr="00FC7570">
              <w:rPr>
                <w:rFonts w:ascii="Merriweather" w:hAnsi="Merriweather"/>
                <w:sz w:val="16"/>
                <w:szCs w:val="16"/>
              </w:rPr>
              <w:t>tegrirati etičke stavove vezane u stručnom radu u povijesnom, društvenom i kulturnom kontekstu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9A1942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1942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60D5C3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F28817E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325ECD80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9A1942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651208E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C2A6F29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148A8B8D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415D5CB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9A1942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C4E0150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0BC166B8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3C289741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9A1942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7D30F25D" w:rsidR="009A1942" w:rsidRPr="00E8229E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E8229E">
              <w:rPr>
                <w:rFonts w:ascii="Merriweather" w:hAnsi="Merriweather" w:cs="Arial Narrow"/>
                <w:noProof/>
                <w:sz w:val="16"/>
                <w:szCs w:val="16"/>
              </w:rPr>
              <w:t>Studenti su dužni odslušati najmanje 70% predavanja, te sudjelovati u radu i diskusiji na najmanje 70% seminara (u slučaju kolizije 40% predavanja i 40% seminara). Studenti su dužni izraditi seminar na zadanu temu (min. 10 kartica), te ga prezentirati u vidu usmenog izlaganja.</w:t>
            </w:r>
          </w:p>
        </w:tc>
      </w:tr>
      <w:tr w:rsidR="009A1942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0B2A1C36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873F6C2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A1942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1942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2B742520" w:rsidR="009A1942" w:rsidRPr="00CD7C9D" w:rsidRDefault="00E8229E" w:rsidP="00CD7C9D">
            <w:pPr>
              <w:tabs>
                <w:tab w:val="left" w:pos="1218"/>
              </w:tabs>
              <w:spacing w:before="20" w:after="20"/>
              <w:jc w:val="both"/>
              <w:rPr>
                <w:rFonts w:eastAsia="MS Gothic" w:cs="Times New Roman"/>
                <w:sz w:val="16"/>
                <w:szCs w:val="16"/>
              </w:rPr>
            </w:pP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 daje kritički uvid u suvremenu </w:t>
            </w:r>
            <w:proofErr w:type="spellStart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muzeologiju</w:t>
            </w:r>
            <w:proofErr w:type="spellEnd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 teorijskoj razini, kao i na praktičkoj razini funkcioniranja muzejskih ustanova. Predavanjima su obuhvaćene teme definicije muzeja u današnjem globalnom okruženju, 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>definicije</w:t>
            </w: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muzejskog predmeta, politika sabiranja i upravljanja muzejskim zbirkama, proučavanje i istraživanje u muzejskom kontekstu, muzejska dokumentacija, zaštita i muzejska arhitektura. Posebna pažnja posvećuje se muzejskoj komunikaciji, edukaciji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(ulozi muzejskog pedagoga i obrazovnim aktivnostima muzeja)</w:t>
            </w: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, poznavanju i razvoju muzejske publike te utjecaju novih medija i razvoja suvremenih tehnologija na muzejski rad (</w:t>
            </w:r>
            <w:proofErr w:type="spellStart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kibermuzeologija</w:t>
            </w:r>
            <w:proofErr w:type="spellEnd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, digitalizacija, popularizacija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komunikacija</w:t>
            </w: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putem društvenih mreža, kreiranje online baštinskih sadržaja, virtualni muzeji). 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T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eme seminarskih radova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obrađuju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problemsk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aspekt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suvremene </w:t>
            </w:r>
            <w:proofErr w:type="spellStart"/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muzeologije</w:t>
            </w:r>
            <w:proofErr w:type="spellEnd"/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(organizacija i djelatnost muzejskih institucija); 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seminarska nastava uključuje i 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čitanje određenih poglavlja naslova iz obvezne i dopunske literature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i zajedničku diskusiju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Studente se potiče na samostalno praćenje aktualnih događanja u svjetskim i hrvatskim muzejima, kao poticaj za diskusiju o suvremenim trendovima u </w:t>
            </w:r>
            <w:proofErr w:type="spellStart"/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>muzeologiji</w:t>
            </w:r>
            <w:proofErr w:type="spellEnd"/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muzejskom radu.</w:t>
            </w:r>
          </w:p>
        </w:tc>
      </w:tr>
      <w:tr w:rsidR="009A1942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2686406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Upoznavanje sa studentima, obaveze, seminari i uvodno predavanje: </w:t>
            </w: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 kao institucija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; raznovrsnost muzeja; muzej kao integralni dio informacijskog sustava; mreža muzeja i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matičnost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; organizacija muzejske ustanove</w:t>
            </w:r>
          </w:p>
          <w:p w14:paraId="49D1F573" w14:textId="5450D50A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Muzejski predmet: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sabiranje u okružju muzeja; pojam i tipologija muzejskih zbirki; tipologija muzejskog materijala; nematerijalna muzejska baština; politika sabiranja muzeja; osnovni postupci rada s predmetima zbirke: nabava, izlučivanje, posudba</w:t>
            </w:r>
          </w:p>
          <w:p w14:paraId="16C20A42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Upravljanje muzejskim zbirkama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fizički i intelektualni dio zbirke, osobit muzejski materijal (ljudski ostaci u muzeju), problem originala kao muzejskog materijala, pojam i tipologija falsifikata, sabiranje i dokumentacija suvremenog života i predmeta, prezentacija zbirki; načela upravljanja muzejskom zbirkom i ostali potrebni dokumenti u radu sa zbirkama;</w:t>
            </w:r>
          </w:p>
          <w:p w14:paraId="2D103269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Muzejska komunikacija: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komunikacijski proces općenito; komunikacija u baštinskom okolišu -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muzeološka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funkcija komunikacije; oblici komunikacije u muzeju - od općih i zajedničkih svim kulturnim ustanovama do izložbe kao najimanentnijeg oblika; komunikacija edicijom i svi njeni oblici u muzeju (publikacije muzeja); publiciranje kao postupak; Interpretacija kao najznačajnije komunikacijsko oruđe muzeja</w:t>
            </w:r>
          </w:p>
          <w:p w14:paraId="616AB4F8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Izložba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muzejska komunikacija: pojam i priroda izložbe na teoretskoj razini; povijesni pregled izlaganja; vrste izložaba u muzejskom okolišu; tipologija izložaba - stalni postav- povremena izložba – putujuća izložba; izložbena praksa : sastavnice postupka oblikovanja izložbe - od planiranja do tehničke izvedbe; osnovni elementi izložbe – organizacija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sadržaja i orijentacija u prostoru; boja; svjetlo; odnos prema predmetima - predmeti kao informacije, simboli i dragocjenosti; legende i drugi popratni materijali; evaluacija izložaba</w:t>
            </w:r>
          </w:p>
          <w:p w14:paraId="55AD6B3B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Edukacija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muzeju: važnost edukacije u muzeju kao kulturnoj instituciji, muzejska edukacija u suvremenom svijetu, profesija muzejskog pedagoga u HR i izvan nje; podučavanje temeljeno na muzejskom predmetu; modeli muzejske edukacije, edukacijski oblici za različite vrste posjetitelja – individualni i grupni, djeca, tinejdžeri, odrasli, osobe s invaliditetom; mediji i oblici komunikacije u muzeju; komunikacija i edukacija na izložbi; muzeji i škole – muzejski programi za škole, partnerstva škole muzeja; muzejska edukacija izvan muzeja, tehnologija i muzejska edukacija na web-u; muzejska publikacija kao edukacijsko pomagalo</w:t>
            </w:r>
          </w:p>
          <w:p w14:paraId="78F787CD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Muzejska publika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istraživanje publike; posjećenost; posjetitelj – korisnik, posebna publika, prostori za posjetitelje, edukacijska uloga muzeja; muzejske radionice; edukacija kroz radionicu (strukturirani i nestrukturirani edukacijski programi); planiranje aktivnosti i programa; muzejska pedagogija i muzejska andragogija</w:t>
            </w:r>
          </w:p>
          <w:p w14:paraId="4B21CDB7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Novi mediji i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kibermuzeologija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digitalizacija; imaginarni muzej, virtualni muzej; multimedija – sadržaj i nositelj; vrednovanje multimedije; interaktivnost; mrežne stranice muzeja – struktura i sadržaj; mrežne stranice muzeja i primarna muzejska dokumentacija; mrežne stranice muzeja i sekundarna muzejska dokumentacija; „pametna“ tehnologija i aplikacije u muzejskom okruženju</w:t>
            </w:r>
          </w:p>
          <w:p w14:paraId="6ADDC443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Proučavanje i istraživanje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kao muzejska djelatnost: istraživanje i dokumentiranje predmeta zbirke; odnos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muzeologije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prema temeljnim znanstvenim disciplinama - identiteti muzejskog predmeta; modeli istraživanja predmeta baštine; dokumentiranje muzejskih predmeta kao dio postupka istraživanja; dokumentiranje zbirke</w:t>
            </w:r>
          </w:p>
          <w:p w14:paraId="58BF35ED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Dokumentacija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primarna muzejska dokumentacija; postupci inventarizacije i katalogizacije muzejskih predmeta, sadržajna obrada muzejske građe; korištenje nazivlja pri inventarizaciji, katalogizaciji i obradi muzejske građe; sekundarna muzejska dokumentacija (audiovizualni fondovi, dokumentiranje djelatnosti muzeja (evidencije muzejskih izložbi i dr.); pristup muzejskim predmetima i informacijama o predmetima; standardi potrebni za dokumentacijsku obradu</w:t>
            </w:r>
          </w:p>
          <w:p w14:paraId="3A849B0B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Zaštita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muzeju: opći principi zaštite baštinskih materijalnih dobara; profesija i organizacija zaštite u Hrvatskoj; uzroci propadanja pokretne baštine;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kriptoklima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njezina regulacija; svjetlo kao najrazorniji uzročnik propadanja: karakteristike i praktične metode zaštite; zagađenje zraka; preventivna zaštita; sigurna pohrana, izlaganje i transport predmeta; elementi zaštite u programu izgradnje ili uređenja muzeja; sigurnost u muzejskim zgradama</w:t>
            </w:r>
          </w:p>
          <w:p w14:paraId="0C3CB596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Muzejska arhitektura: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arhitektura muzeja kao osobita graditeljska vrsta; povijest muzejske arhitekture, muzejska arhitektura u Hrvatskoj; muzej u povijesnom prostoru, prenamijenjene zgrade za muzeje – adaptacije</w:t>
            </w:r>
          </w:p>
          <w:p w14:paraId="100F0500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Suvremena muzejska arhitektura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proces izgradnje nove muzejske zgrade, prednosti i mane suvremene muzejske arhitekture; funkcija muzeja i njihov odraz u organizaciji prostora i na oblikovanje zgrade, važnost funkcionalnog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muzeološkog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programa; posebni zahtjevi mikroklime; osvjetljenje u muzejima; upravljanje muzejskom zgradom</w:t>
            </w:r>
          </w:p>
          <w:p w14:paraId="6E3A408E" w14:textId="2B3F8BBF" w:rsidR="009A1942" w:rsidRPr="0044528B" w:rsidRDefault="009A1942" w:rsidP="009A1942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Seminarski radovi.</w:t>
            </w:r>
          </w:p>
        </w:tc>
      </w:tr>
      <w:tr w:rsidR="009A1942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3CAE2718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I.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Maroević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Uvod u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muzeologiju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Zavod za informacijske studije, Zagreb 1993. (str. 91-103, 110-162, 169-259); A.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Gob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N.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Drouguet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Muzeologija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-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p</w:t>
            </w: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ovijest, razvitak, izazovi današnjice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Antibarbarus, Zagreb, 2007. (str. 63-286);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The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Educational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Role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the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Museum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, London/New York, 1994. (odabrana poglavlja)</w:t>
            </w:r>
          </w:p>
        </w:tc>
      </w:tr>
      <w:tr w:rsidR="009A1942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EE5E1E7" w14:textId="57AAC9DD" w:rsidR="009A1942" w:rsidRPr="00C27EDA" w:rsidRDefault="009A1942" w:rsidP="00C27EDA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A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Companion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to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Studies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(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. S.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Macdonald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),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Wiley-Blackwell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2013. (odabrana poglavlja); T.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Ambrose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/ C.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Paine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basics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London/ New York 2012.; D. Dean,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exhibition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: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theory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practice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London - New York, 1994.;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Museums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their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visitors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(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Eilean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Hooper-Greenhill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),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1994.,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Museums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their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Communities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(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.) Sheila Watson,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2007.;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G. K.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Talboys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,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</w:t>
            </w:r>
            <w:proofErr w:type="spellEnd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Educator’s</w:t>
            </w:r>
            <w:proofErr w:type="spellEnd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Handbook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Ashgate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Aldershot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, 2005.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;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Digital Technologies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Experience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>, (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Loic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Tallon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i Kevin Walker),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AltaMira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Press, 2008.; Polly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McKenna-Cress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Janer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Kamien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Creating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Exhibitions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Collaboration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in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Planning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, Development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Design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of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Innovative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Experiences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Wiley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2013.; </w:t>
            </w:r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John H. </w:t>
            </w:r>
            <w:proofErr w:type="spellStart"/>
            <w:r w:rsidRPr="00C27EDA">
              <w:rPr>
                <w:rFonts w:ascii="Merriweather" w:hAnsi="Merriweather"/>
                <w:bCs/>
                <w:sz w:val="16"/>
                <w:szCs w:val="16"/>
              </w:rPr>
              <w:t>Falk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Lynn D. </w:t>
            </w:r>
            <w:proofErr w:type="spellStart"/>
            <w:r w:rsidRPr="00C27EDA">
              <w:rPr>
                <w:rFonts w:ascii="Merriweather" w:hAnsi="Merriweather"/>
                <w:bCs/>
                <w:sz w:val="16"/>
                <w:szCs w:val="16"/>
              </w:rPr>
              <w:t>Dierking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The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experience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revisited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Cs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2016.; 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T. Šola,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Marketing u muzejima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, Clio, Beograd, 2002.; T. Šola,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Eseji o muzejima i njihovoj teoriji,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Hrvatski nacionalni komitet ICOM, Zagreb, 2003.;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Ž.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 Jelavić, Muzej kao mjesto učenja i uloga muzejske edukacije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,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Puriteka</w:t>
            </w:r>
            <w:proofErr w:type="spellEnd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3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, 2014, str. 7-1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1.; 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Muzeji za sve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(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. Vou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k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, Morana i Željka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Miklošević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)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, Muzejska udruga Istočne Hrvatske,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2013., str. 7-17 i 42-49.</w:t>
            </w:r>
            <w:r w:rsidR="00C27EDA">
              <w:rPr>
                <w:rFonts w:ascii="Merriweather" w:hAnsi="Merriweather"/>
                <w:sz w:val="16"/>
                <w:szCs w:val="16"/>
              </w:rPr>
              <w:t xml:space="preserve">; 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Zakon o zaštiti i očuvanju kulturnih dobara,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44/2017; Zakon o arhivskom gradivu i arhivima,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46/2017; Zakon o knjižnicama,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69/2009; Pravilnik o sadržaju i načinu vođenja muzejske dokumentacije o muzejskoj građi,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108/2002</w:t>
            </w:r>
          </w:p>
          <w:p w14:paraId="64182D56" w14:textId="77777777" w:rsidR="009A1942" w:rsidRPr="00C27EDA" w:rsidRDefault="009A1942" w:rsidP="00C27EDA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27EDA">
              <w:rPr>
                <w:rFonts w:ascii="Merriweather" w:hAnsi="Merriweather"/>
                <w:sz w:val="16"/>
                <w:szCs w:val="16"/>
              </w:rPr>
              <w:t xml:space="preserve">Članci u časopisima: </w:t>
            </w:r>
          </w:p>
          <w:p w14:paraId="63D07860" w14:textId="0E9034F4" w:rsidR="009A1942" w:rsidRPr="00C27EDA" w:rsidRDefault="009A1942" w:rsidP="00C27EDA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Informatica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Museologica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MDC, Zagreb;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Muzeologija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MDC, Zagreb;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Vijesti muzealaca i konzervatora</w:t>
            </w:r>
            <w:r w:rsidRPr="00C27EDA">
              <w:rPr>
                <w:rFonts w:ascii="Merriweather" w:hAnsi="Merriweather"/>
                <w:sz w:val="16"/>
                <w:szCs w:val="16"/>
              </w:rPr>
              <w:t>, DMK, Zagreb</w:t>
            </w:r>
          </w:p>
        </w:tc>
      </w:tr>
      <w:tr w:rsidR="009A1942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5BD89AB2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Association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(www.museumsassociation.org/mp);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Journal London, (https://www.museumsassociation.org/museums-journal); ICOM –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intenational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council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(http://icom.museum/); NEMO – Network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European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Organisations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(http://www.ne-mo.org/); American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Alliance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(https://www.aam-us.org/), Hrvatsko muzejsko društvo (http://hrmud.hr/ ); Muzejsko-dokumentacijski centar (http://www.mdc.hr); stranice pojedinih muzejskih institucija</w:t>
            </w:r>
          </w:p>
        </w:tc>
      </w:tr>
      <w:tr w:rsidR="009A1942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A1942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0DBDA0D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A1942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612A4F3B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113BFD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34B135B4" w:rsidR="009A1942" w:rsidRPr="0017531F" w:rsidRDefault="009A1942" w:rsidP="009A194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405CC24" w:rsidR="009A1942" w:rsidRPr="0017531F" w:rsidRDefault="009A1942" w:rsidP="009A194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A1942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4BBC8E8" w:rsidR="009A1942" w:rsidRPr="0044528B" w:rsidRDefault="009A1942" w:rsidP="004452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Temeljni način provjere znanja i vještina koje su studenti stekli pohađanjem kolegija predstavlja završni  ispit koji se izvodi u pismenom obliku. Studenti mogu polagati i kolokvij kao dio konačnog ispita.</w:t>
            </w:r>
          </w:p>
        </w:tc>
      </w:tr>
      <w:tr w:rsidR="009A1942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B30EBB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 60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A1942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136D64B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A1942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B8B0F3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70-80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A1942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6BA80B9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A1942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64F2143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A1942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A1942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07EDF61" w14:textId="77777777" w:rsidR="009A1942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22EC6AD6" w14:textId="77777777" w:rsidR="00B85AA5" w:rsidRDefault="00B85AA5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62CB68A2" w:rsidR="00B85AA5" w:rsidRPr="0017531F" w:rsidRDefault="00B85AA5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E048" w14:textId="77777777" w:rsidR="005412E4" w:rsidRDefault="005412E4" w:rsidP="009947BA">
      <w:pPr>
        <w:spacing w:before="0" w:after="0"/>
      </w:pPr>
      <w:r>
        <w:separator/>
      </w:r>
    </w:p>
  </w:endnote>
  <w:endnote w:type="continuationSeparator" w:id="0">
    <w:p w14:paraId="474CC0FD" w14:textId="77777777" w:rsidR="005412E4" w:rsidRDefault="005412E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1FCB" w14:textId="77777777" w:rsidR="005412E4" w:rsidRDefault="005412E4" w:rsidP="009947BA">
      <w:pPr>
        <w:spacing w:before="0" w:after="0"/>
      </w:pPr>
      <w:r>
        <w:separator/>
      </w:r>
    </w:p>
  </w:footnote>
  <w:footnote w:type="continuationSeparator" w:id="0">
    <w:p w14:paraId="1A56C3BE" w14:textId="77777777" w:rsidR="005412E4" w:rsidRDefault="005412E4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8B1"/>
    <w:multiLevelType w:val="hybridMultilevel"/>
    <w:tmpl w:val="C7BCF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1110D"/>
    <w:multiLevelType w:val="hybridMultilevel"/>
    <w:tmpl w:val="611006C0"/>
    <w:lvl w:ilvl="0" w:tplc="0CA690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49F5"/>
    <w:multiLevelType w:val="hybridMultilevel"/>
    <w:tmpl w:val="B5680A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50CBF"/>
    <w:multiLevelType w:val="hybridMultilevel"/>
    <w:tmpl w:val="3C7E1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1056">
    <w:abstractNumId w:val="3"/>
  </w:num>
  <w:num w:numId="2" w16cid:durableId="53965118">
    <w:abstractNumId w:val="2"/>
  </w:num>
  <w:num w:numId="3" w16cid:durableId="394950">
    <w:abstractNumId w:val="1"/>
  </w:num>
  <w:num w:numId="4" w16cid:durableId="92033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82DC4"/>
    <w:rsid w:val="00084ADA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42D14"/>
    <w:rsid w:val="00250CF2"/>
    <w:rsid w:val="0028545A"/>
    <w:rsid w:val="002C6DCC"/>
    <w:rsid w:val="002E1CE6"/>
    <w:rsid w:val="002E38F8"/>
    <w:rsid w:val="002F2D22"/>
    <w:rsid w:val="00310F9A"/>
    <w:rsid w:val="00326091"/>
    <w:rsid w:val="00334C5A"/>
    <w:rsid w:val="00357643"/>
    <w:rsid w:val="00371634"/>
    <w:rsid w:val="00386E9C"/>
    <w:rsid w:val="00393964"/>
    <w:rsid w:val="003B254F"/>
    <w:rsid w:val="003C4ACB"/>
    <w:rsid w:val="003D7529"/>
    <w:rsid w:val="003F11B6"/>
    <w:rsid w:val="003F17B8"/>
    <w:rsid w:val="003F3E31"/>
    <w:rsid w:val="004138FF"/>
    <w:rsid w:val="0044528B"/>
    <w:rsid w:val="00453362"/>
    <w:rsid w:val="00461219"/>
    <w:rsid w:val="00470F6D"/>
    <w:rsid w:val="00483BC3"/>
    <w:rsid w:val="004B1B3D"/>
    <w:rsid w:val="004B553E"/>
    <w:rsid w:val="00507C65"/>
    <w:rsid w:val="00517EA9"/>
    <w:rsid w:val="00522380"/>
    <w:rsid w:val="00527C5F"/>
    <w:rsid w:val="005353ED"/>
    <w:rsid w:val="00540A11"/>
    <w:rsid w:val="005412E4"/>
    <w:rsid w:val="005514C3"/>
    <w:rsid w:val="00574D1E"/>
    <w:rsid w:val="005A077B"/>
    <w:rsid w:val="005A0F3F"/>
    <w:rsid w:val="005E1668"/>
    <w:rsid w:val="005E5F80"/>
    <w:rsid w:val="005F6E0B"/>
    <w:rsid w:val="0062328F"/>
    <w:rsid w:val="00684BBC"/>
    <w:rsid w:val="006B4920"/>
    <w:rsid w:val="006F4081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823"/>
    <w:rsid w:val="008B3B10"/>
    <w:rsid w:val="008C0119"/>
    <w:rsid w:val="008D45DB"/>
    <w:rsid w:val="0090214F"/>
    <w:rsid w:val="009143DC"/>
    <w:rsid w:val="009163E6"/>
    <w:rsid w:val="00934ACE"/>
    <w:rsid w:val="00955A47"/>
    <w:rsid w:val="009760E8"/>
    <w:rsid w:val="009947BA"/>
    <w:rsid w:val="00997F41"/>
    <w:rsid w:val="009A1942"/>
    <w:rsid w:val="009A3A9D"/>
    <w:rsid w:val="009B369B"/>
    <w:rsid w:val="009C56B1"/>
    <w:rsid w:val="009D5226"/>
    <w:rsid w:val="009E2FD4"/>
    <w:rsid w:val="00A06750"/>
    <w:rsid w:val="00A9132B"/>
    <w:rsid w:val="00AA1A5A"/>
    <w:rsid w:val="00AD1272"/>
    <w:rsid w:val="00AD23FB"/>
    <w:rsid w:val="00B71A57"/>
    <w:rsid w:val="00B7307A"/>
    <w:rsid w:val="00B85AA5"/>
    <w:rsid w:val="00BE4A21"/>
    <w:rsid w:val="00C02454"/>
    <w:rsid w:val="00C04DAC"/>
    <w:rsid w:val="00C2566D"/>
    <w:rsid w:val="00C27EDA"/>
    <w:rsid w:val="00C3477B"/>
    <w:rsid w:val="00C85956"/>
    <w:rsid w:val="00C966E3"/>
    <w:rsid w:val="00C9733D"/>
    <w:rsid w:val="00CA3783"/>
    <w:rsid w:val="00CB23F4"/>
    <w:rsid w:val="00CC7BC4"/>
    <w:rsid w:val="00CD7C9D"/>
    <w:rsid w:val="00D136E4"/>
    <w:rsid w:val="00D5334D"/>
    <w:rsid w:val="00D5523D"/>
    <w:rsid w:val="00D63C44"/>
    <w:rsid w:val="00D75094"/>
    <w:rsid w:val="00D944DF"/>
    <w:rsid w:val="00DD110C"/>
    <w:rsid w:val="00DE6D53"/>
    <w:rsid w:val="00DF39D0"/>
    <w:rsid w:val="00E06E39"/>
    <w:rsid w:val="00E07D73"/>
    <w:rsid w:val="00E17D18"/>
    <w:rsid w:val="00E30E67"/>
    <w:rsid w:val="00E8229E"/>
    <w:rsid w:val="00E92661"/>
    <w:rsid w:val="00EB5A72"/>
    <w:rsid w:val="00EC2BFE"/>
    <w:rsid w:val="00F02A8F"/>
    <w:rsid w:val="00F2033E"/>
    <w:rsid w:val="00F22855"/>
    <w:rsid w:val="00F513E0"/>
    <w:rsid w:val="00F566DA"/>
    <w:rsid w:val="00F64CBA"/>
    <w:rsid w:val="00F765C6"/>
    <w:rsid w:val="00F82834"/>
    <w:rsid w:val="00F84F5E"/>
    <w:rsid w:val="00FA5C5B"/>
    <w:rsid w:val="00FA69E3"/>
    <w:rsid w:val="00FC2198"/>
    <w:rsid w:val="00FC283E"/>
    <w:rsid w:val="00FC7570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50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D1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22380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Lidija Butković Mićin</cp:lastModifiedBy>
  <cp:revision>12</cp:revision>
  <cp:lastPrinted>2021-02-12T11:27:00Z</cp:lastPrinted>
  <dcterms:created xsi:type="dcterms:W3CDTF">2025-09-16T08:55:00Z</dcterms:created>
  <dcterms:modified xsi:type="dcterms:W3CDTF">2025-09-16T09:57:00Z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